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8F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729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4C3A65" w:rsidRPr="004C3A65">
        <w:rPr>
          <w:rFonts w:ascii="Times New Roman" w:hAnsi="Times New Roman" w:cs="Times New Roman"/>
          <w:b/>
          <w:i/>
          <w:noProof/>
          <w:sz w:val="28"/>
          <w:szCs w:val="28"/>
        </w:rPr>
        <w:t>Меры по борьбе с финансированием терроризма</w:t>
      </w:r>
    </w:p>
    <w:p w:rsidR="004C3A65" w:rsidRDefault="004C3A65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79E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Pr="00CB7ABF">
        <w:rPr>
          <w:rFonts w:ascii="Times New Roman" w:hAnsi="Times New Roman" w:cs="Times New Roman"/>
          <w:i/>
          <w:sz w:val="28"/>
          <w:szCs w:val="28"/>
        </w:rPr>
        <w:t xml:space="preserve">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A65" w:rsidRPr="004C3A65" w:rsidRDefault="004C3A65" w:rsidP="00DB5D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Ключевое место в данном вопросе занимает Федеральный закон от 07.08.2001 № 115-ФЗ «О противодействии легализации (отмыванию) доходов, полученных преступным путем, и финансированию терроризма» (далее - Закон № 115 - ФЗ).</w:t>
      </w:r>
    </w:p>
    <w:p w:rsidR="004C3A65" w:rsidRPr="004C3A65" w:rsidRDefault="004C3A65" w:rsidP="00DB5D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Финансирования терроризма - предоставление или сбор средств либо оказание финансовых услуг с осознанием того, что они предназначены для финансирования организации, подготовки и совершения хотя бы одного из преступлений, предусмотренных ст. ст. 205, 205.1, 205.2, 205.3, 205.4, 205.5, 206, 208, 211, 220, 221, 277, 278, 279, 360 и 361 УК РФ, либо для финансирования или иного материального обеспечения лица в целях совершения</w:t>
      </w:r>
      <w:proofErr w:type="gramEnd"/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 хотя бы одного из указанных преступлений, либо для обеспечения организованной группы, незаконного вооруженного формирования или преступного сообщества, созданных или создаваемых для совершения хотя бы одного из указанных преступлений.</w:t>
      </w:r>
    </w:p>
    <w:p w:rsidR="004C3A65" w:rsidRPr="004C3A65" w:rsidRDefault="004C3A65" w:rsidP="00DB5D3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ст. 4 Закона № 115-ФЗ к мерам, направленным на противодействие финансированию терроризма относятся:</w:t>
      </w:r>
    </w:p>
    <w:p w:rsidR="004C3A65" w:rsidRPr="004C3A65" w:rsidRDefault="00DB5D3C" w:rsidP="004C3A6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C3A65"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осуществление внутреннего контроля (идентификация клиентов, их представителей, </w:t>
      </w:r>
      <w:proofErr w:type="spellStart"/>
      <w:r w:rsidR="004C3A65"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выгодоприобретателей</w:t>
      </w:r>
      <w:proofErr w:type="spellEnd"/>
      <w:r w:rsidR="004C3A65"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C3A65"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бенефициарных</w:t>
      </w:r>
      <w:proofErr w:type="spellEnd"/>
      <w:r w:rsidR="004C3A65"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владельцев; получение информации о целях установления и предполагаемом характере деловых отношений клиента с организацией, осуществляющей операции с денежными средствами и иным имуществом; определение целей финансово-хозяйственной деятельности, финансового положения и деловой репутации клиентов, а также источников происхождения денежных средств и (или) иного имущества клиентов;</w:t>
      </w:r>
      <w:proofErr w:type="gramEnd"/>
      <w:r w:rsidR="004C3A65"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оценка степени (уровня) риска совершения клиентами подозрительных операций и отнесение клиентов к группам риска совершения подозрительных операций; документальное фиксирование сведений и их представление в уполномоченный орган; хранение документов и информации);</w:t>
      </w:r>
    </w:p>
    <w:p w:rsidR="004C3A65" w:rsidRPr="004C3A65" w:rsidRDefault="00DB5D3C" w:rsidP="004C3A6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C3A65"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обязательный контроль (принимаемые </w:t>
      </w:r>
      <w:proofErr w:type="spellStart"/>
      <w:r w:rsidR="004C3A65"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Росфинмониторингом</w:t>
      </w:r>
      <w:proofErr w:type="spellEnd"/>
      <w:r w:rsidR="004C3A65"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 по </w:t>
      </w:r>
      <w:proofErr w:type="gramStart"/>
      <w:r w:rsidR="004C3A65"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="004C3A65"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операциями с денежными средствами или иным имуществом на основании информации, представляемой ему организациями, осуществляющими такие операции, а также по проверке этой информации);</w:t>
      </w:r>
    </w:p>
    <w:p w:rsidR="004C3A65" w:rsidRPr="004C3A65" w:rsidRDefault="00DB5D3C" w:rsidP="004C3A6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C3A65"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запрет на информирование клиентов и иных лиц о принимаемых мерах противодействия финансированию терроризма;</w:t>
      </w:r>
    </w:p>
    <w:p w:rsidR="004C3A65" w:rsidRPr="004C3A65" w:rsidRDefault="00DB5D3C" w:rsidP="004C3A6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4C3A65"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иные меры, принимаемые в соответствии с федеральными законами (Федеральный закон от 22.04.1996 № 39-ФЗ «О рынке ценных бумаг», Федеральный закон от 12.01.1996 № 7-ФЗ «О некоммерческих организациях», Федеральный закон от 02.12.1990 № 395-1 «О банках и банковской деятельности», Федеральный закон от 29.11.2001 № 156-ФЗ «Об инвестиционных фондах», Федеральный закон от 03.06.2009 № 103-ФЗ «О деятельности по приему платежей физических лиц, осуществляемой платежными агентами»).</w:t>
      </w:r>
      <w:proofErr w:type="gramEnd"/>
    </w:p>
    <w:p w:rsidR="004C3A65" w:rsidRPr="004C3A65" w:rsidRDefault="004C3A65" w:rsidP="004C3A6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Обязанность по организации и осуществлению внутреннего контроля возложена на организации, осуществляющие операции с денежными средствами или иным имуществом, к которым относятся:</w:t>
      </w:r>
    </w:p>
    <w:p w:rsidR="004C3A65" w:rsidRPr="004C3A65" w:rsidRDefault="004C3A65" w:rsidP="004C3A65">
      <w:pPr>
        <w:pStyle w:val="a9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кредитные организации;</w:t>
      </w:r>
    </w:p>
    <w:p w:rsidR="004C3A65" w:rsidRPr="004C3A65" w:rsidRDefault="004C3A65" w:rsidP="004C3A65">
      <w:pPr>
        <w:pStyle w:val="a9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профессиональные участники рынка ценных бумаг (за исключением инвестиционного консультирования);</w:t>
      </w:r>
    </w:p>
    <w:p w:rsidR="004C3A65" w:rsidRPr="004C3A65" w:rsidRDefault="004C3A65" w:rsidP="004C3A65">
      <w:pPr>
        <w:pStyle w:val="a9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операторы инвестиционных платформ;</w:t>
      </w:r>
    </w:p>
    <w:p w:rsidR="004C3A65" w:rsidRPr="004C3A65" w:rsidRDefault="004C3A65" w:rsidP="004C3A65">
      <w:pPr>
        <w:pStyle w:val="a9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страховые организации (за исключением обязательного медицинского страхования), страховые брокеры и лизинговые компании;</w:t>
      </w:r>
    </w:p>
    <w:p w:rsidR="004C3A65" w:rsidRPr="004C3A65" w:rsidRDefault="004C3A65" w:rsidP="004C3A65">
      <w:pPr>
        <w:pStyle w:val="a9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федеральной почтовой связи;</w:t>
      </w:r>
    </w:p>
    <w:p w:rsidR="004C3A65" w:rsidRPr="004C3A65" w:rsidRDefault="004C3A65" w:rsidP="004C3A65">
      <w:pPr>
        <w:pStyle w:val="a9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ломбарды;</w:t>
      </w:r>
    </w:p>
    <w:p w:rsidR="004C3A65" w:rsidRPr="004C3A65" w:rsidRDefault="004C3A65" w:rsidP="004C3A65">
      <w:pPr>
        <w:pStyle w:val="a9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организации, осуществляющие скупку, куплю-продажу драгоценных металлов и драгоценных камней, ювелирных изделий из них и лома таких изделий (за исключением религиозных организаций, музеев, а также </w:t>
      </w:r>
      <w:proofErr w:type="spellStart"/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научноисследовательских</w:t>
      </w:r>
      <w:proofErr w:type="spellEnd"/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производственно-технических целей);</w:t>
      </w:r>
    </w:p>
    <w:p w:rsidR="004C3A65" w:rsidRPr="004C3A65" w:rsidRDefault="004C3A65" w:rsidP="004C3A65">
      <w:pPr>
        <w:pStyle w:val="a9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азартных игр;</w:t>
      </w:r>
    </w:p>
    <w:p w:rsidR="004C3A65" w:rsidRPr="004C3A65" w:rsidRDefault="004C3A65" w:rsidP="004C3A65">
      <w:pPr>
        <w:pStyle w:val="a9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управляющие компании инвестиционных, паевых инвестиционных и негосударственных пенсионных фондов; организации, оказывающие посреднические услуги при осуществлении сделок купли-продажи недвижимого имущества; операторы по приему платежей;</w:t>
      </w:r>
    </w:p>
    <w:p w:rsidR="004C3A65" w:rsidRDefault="004C3A65" w:rsidP="004C3A65">
      <w:pPr>
        <w:pStyle w:val="a9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коммерческие организации, заключающие договоры финансирования под уступку денежного требования в качестве финансовых агентов;</w:t>
      </w:r>
    </w:p>
    <w:p w:rsidR="004C3A65" w:rsidRPr="004C3A65" w:rsidRDefault="004C3A65" w:rsidP="004C3A65">
      <w:pPr>
        <w:pStyle w:val="a9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кредитные        потребительские       кооперативы,        в       том       числе  сельскохозяйственные кредитные потребительские кооперативы;</w:t>
      </w:r>
    </w:p>
    <w:p w:rsidR="004C3A65" w:rsidRPr="004C3A65" w:rsidRDefault="004C3A65" w:rsidP="004C3A65">
      <w:pPr>
        <w:pStyle w:val="a9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микрофинансовые</w:t>
      </w:r>
      <w:proofErr w:type="spellEnd"/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организации;</w:t>
      </w:r>
    </w:p>
    <w:p w:rsidR="004C3A65" w:rsidRPr="004C3A65" w:rsidRDefault="004C3A65" w:rsidP="004C3A65">
      <w:pPr>
        <w:pStyle w:val="a9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 взаимного страхования; негосударственные пенсионные фонды;</w:t>
      </w:r>
    </w:p>
    <w:p w:rsidR="004C3A65" w:rsidRPr="004C3A65" w:rsidRDefault="004C3A65" w:rsidP="004C3A65">
      <w:pPr>
        <w:pStyle w:val="a9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операторы связи;</w:t>
      </w:r>
    </w:p>
    <w:p w:rsidR="004C3A65" w:rsidRPr="004C3A65" w:rsidRDefault="004C3A65" w:rsidP="004C3A65">
      <w:pPr>
        <w:pStyle w:val="a9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операторы лотерей;</w:t>
      </w:r>
    </w:p>
    <w:p w:rsidR="00DB5D3C" w:rsidRDefault="004C3A65" w:rsidP="00DB5D3C">
      <w:pPr>
        <w:pStyle w:val="a9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операторы финансовых платформ;</w:t>
      </w:r>
    </w:p>
    <w:p w:rsidR="004C3A65" w:rsidRPr="00DB5D3C" w:rsidRDefault="004C3A65" w:rsidP="00DB5D3C">
      <w:pPr>
        <w:pStyle w:val="a9"/>
        <w:numPr>
          <w:ilvl w:val="0"/>
          <w:numId w:val="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5D3C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операторы информационных систем, в которых осуществляется выпуск цифровых финансовых активов, и операторы обмена цифровых финансовых активов.</w:t>
      </w:r>
    </w:p>
    <w:p w:rsidR="004C3A65" w:rsidRPr="004C3A65" w:rsidRDefault="004C3A65" w:rsidP="004C3A6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Одними из основных органов, призванных противодействовать финансированию терроризма (помимо правоохранительных), являются Банк России и </w:t>
      </w:r>
      <w:proofErr w:type="spellStart"/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Росфинмониторинг</w:t>
      </w:r>
      <w:proofErr w:type="spellEnd"/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C3A65" w:rsidRPr="004C3A65" w:rsidRDefault="004C3A65" w:rsidP="004C3A6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Российской Федерации предусмотрен комплекс мер по борьбе с финансированием терроризма, важнейшими среди которых являются предоставленная кредитным организациям возможность приостановления операций и замораживания активов лиц, причастных к финансированию терроризма, а также своевременное информирование о них правоохранительные и надзорные органы (Банк России, </w:t>
      </w:r>
      <w:proofErr w:type="spellStart"/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Росфинмониторинг</w:t>
      </w:r>
      <w:proofErr w:type="spellEnd"/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4C3A65" w:rsidRPr="004C3A65" w:rsidRDefault="004C3A65" w:rsidP="004C3A6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при реализации правил внутреннего контроля банка операция, проводимая по банковскому счету клиента, независимо от ее суммы квалифицируется в качестве сомнительной операции, банк вправе ограничить предоставление клиенту банковских услуг путем блокирования банковского счета до прекращения действия обстоятельств, вызвавших подозрения, а также отказать в выполнении распоряжения клиента о совершении операции.</w:t>
      </w:r>
    </w:p>
    <w:p w:rsidR="004C3A65" w:rsidRPr="004C3A65" w:rsidRDefault="004C3A65" w:rsidP="004C3A6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наличии достаточных оснований подозревать причастность организации или физического лица к террористической деятельности (если при этом отсутствуют основания для включения таких лиц в перечень организаций и физических лиц, в отношении которых имеются сведения об их причастности к экстремистской деятельности или терроризму), в том числе при наличии поступившего в </w:t>
      </w:r>
      <w:proofErr w:type="spellStart"/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Росфинмониторинг</w:t>
      </w:r>
      <w:proofErr w:type="spellEnd"/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компетентного органа иностранного государства обращения о возможной причастности организации или</w:t>
      </w:r>
      <w:proofErr w:type="gramEnd"/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физического лица к террористической деятельности, межведомственным координационным органом, осуществляющим функции по противодействию финансированию терроризма, может быть принято решение о замораживании (блокировании) денежных средств или иного имущества </w:t>
      </w:r>
      <w:proofErr w:type="gramStart"/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указанных</w:t>
      </w:r>
      <w:proofErr w:type="gramEnd"/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или физического лица.</w:t>
      </w:r>
    </w:p>
    <w:p w:rsidR="004C3A65" w:rsidRPr="004C3A65" w:rsidRDefault="004C3A65" w:rsidP="004C3A6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операций, подлежащих обязательному контролю, а также круг обязанностей организаций, осуществляющих операции с денежными средствами или иным имуществом, определены статьями 6 и 7 Закона № 115-ФЗ соответственно.</w:t>
      </w:r>
    </w:p>
    <w:p w:rsidR="00175FDA" w:rsidRPr="00CB7ABF" w:rsidRDefault="004C3A65" w:rsidP="004C3A65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Действующим законодательством предусмотрена административная (ст.ст. 15.27, 15.27.1 </w:t>
      </w:r>
      <w:proofErr w:type="spellStart"/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4C3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РФ) и уголовная (ч.ч. 1.1, 4 ст. 205.1 УК РФ) ответственность за совершение нарушений, связанных с противодействием финансированию и финансированием терроризма.</w:t>
      </w:r>
    </w:p>
    <w:sectPr w:rsidR="00175FDA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4A5A23"/>
    <w:multiLevelType w:val="hybridMultilevel"/>
    <w:tmpl w:val="7C843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D1677"/>
    <w:rsid w:val="001E6343"/>
    <w:rsid w:val="001F1D5A"/>
    <w:rsid w:val="00266142"/>
    <w:rsid w:val="002A70FC"/>
    <w:rsid w:val="002D6CB4"/>
    <w:rsid w:val="00305C5D"/>
    <w:rsid w:val="00306CC5"/>
    <w:rsid w:val="00316AFA"/>
    <w:rsid w:val="0035330A"/>
    <w:rsid w:val="00393812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C3A65"/>
    <w:rsid w:val="004E5D55"/>
    <w:rsid w:val="004E77AC"/>
    <w:rsid w:val="004F4E07"/>
    <w:rsid w:val="0059114C"/>
    <w:rsid w:val="005A111A"/>
    <w:rsid w:val="005E5EDA"/>
    <w:rsid w:val="005F241D"/>
    <w:rsid w:val="00600AC6"/>
    <w:rsid w:val="00636AAC"/>
    <w:rsid w:val="00640F56"/>
    <w:rsid w:val="00641E95"/>
    <w:rsid w:val="00671838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82CBC"/>
    <w:rsid w:val="00895B93"/>
    <w:rsid w:val="00896C84"/>
    <w:rsid w:val="008A15F4"/>
    <w:rsid w:val="008D0F8B"/>
    <w:rsid w:val="008F35B0"/>
    <w:rsid w:val="00907F86"/>
    <w:rsid w:val="009201D0"/>
    <w:rsid w:val="0092779E"/>
    <w:rsid w:val="0093190A"/>
    <w:rsid w:val="009406D4"/>
    <w:rsid w:val="009A69EA"/>
    <w:rsid w:val="009B0BDA"/>
    <w:rsid w:val="009B18D2"/>
    <w:rsid w:val="00A1148F"/>
    <w:rsid w:val="00A60FA5"/>
    <w:rsid w:val="00A7393F"/>
    <w:rsid w:val="00AB6395"/>
    <w:rsid w:val="00AD61F5"/>
    <w:rsid w:val="00AE02B4"/>
    <w:rsid w:val="00AE5833"/>
    <w:rsid w:val="00AF53F8"/>
    <w:rsid w:val="00B670E2"/>
    <w:rsid w:val="00B91E78"/>
    <w:rsid w:val="00BD239D"/>
    <w:rsid w:val="00BD3BAB"/>
    <w:rsid w:val="00BE5729"/>
    <w:rsid w:val="00BF6ABD"/>
    <w:rsid w:val="00C006FE"/>
    <w:rsid w:val="00C104A8"/>
    <w:rsid w:val="00C45B68"/>
    <w:rsid w:val="00C749B9"/>
    <w:rsid w:val="00CB7ABF"/>
    <w:rsid w:val="00CD6380"/>
    <w:rsid w:val="00D10F9F"/>
    <w:rsid w:val="00D203FA"/>
    <w:rsid w:val="00D630F8"/>
    <w:rsid w:val="00D81B5A"/>
    <w:rsid w:val="00D862DD"/>
    <w:rsid w:val="00D92F1D"/>
    <w:rsid w:val="00DA1C5E"/>
    <w:rsid w:val="00DA7620"/>
    <w:rsid w:val="00DB5D3C"/>
    <w:rsid w:val="00DF3DD6"/>
    <w:rsid w:val="00DF56F7"/>
    <w:rsid w:val="00E5187C"/>
    <w:rsid w:val="00E767C3"/>
    <w:rsid w:val="00E76AAC"/>
    <w:rsid w:val="00E85B7F"/>
    <w:rsid w:val="00E9583E"/>
    <w:rsid w:val="00EA07DC"/>
    <w:rsid w:val="00EA1796"/>
    <w:rsid w:val="00EC75A5"/>
    <w:rsid w:val="00F33C30"/>
    <w:rsid w:val="00F3643C"/>
    <w:rsid w:val="00F404E2"/>
    <w:rsid w:val="00F409F3"/>
    <w:rsid w:val="00F44540"/>
    <w:rsid w:val="00F6071F"/>
    <w:rsid w:val="00F84CE0"/>
    <w:rsid w:val="00F94FAA"/>
    <w:rsid w:val="00FA2994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2023-05-16T16:04:00Z</dcterms:created>
  <dcterms:modified xsi:type="dcterms:W3CDTF">2023-05-16T16:04:00Z</dcterms:modified>
</cp:coreProperties>
</file>