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2" w:rsidRDefault="005921B1" w:rsidP="004F151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к Правилам</w:t>
      </w:r>
    </w:p>
    <w:p w:rsidR="00484649" w:rsidRDefault="00AA5905" w:rsidP="00080D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дополнительных услуг и работ </w:t>
      </w:r>
      <w:r w:rsidR="004F1512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собственников помещений в многоквартирном доме</w:t>
      </w:r>
    </w:p>
    <w:p w:rsidR="004F1512" w:rsidRDefault="004F1512" w:rsidP="00080D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AA5905" w:rsidTr="00435643">
        <w:tc>
          <w:tcPr>
            <w:tcW w:w="675" w:type="dxa"/>
          </w:tcPr>
          <w:p w:rsidR="00AA5905" w:rsidRDefault="00AA590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5905" w:rsidRDefault="00AA590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AA5905" w:rsidRDefault="00AA590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659" w:type="dxa"/>
          </w:tcPr>
          <w:p w:rsidR="00AA5905" w:rsidRDefault="00AA590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общ.пл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Полив газонов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 мере необходимости</w:t>
            </w:r>
          </w:p>
        </w:tc>
        <w:tc>
          <w:tcPr>
            <w:tcW w:w="2659" w:type="dxa"/>
          </w:tcPr>
          <w:p w:rsidR="00435643" w:rsidRDefault="006E4DF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Закрашивание надписей на фасадах здания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 мере необходимости</w:t>
            </w:r>
          </w:p>
        </w:tc>
        <w:tc>
          <w:tcPr>
            <w:tcW w:w="2659" w:type="dxa"/>
          </w:tcPr>
          <w:p w:rsidR="00435643" w:rsidRDefault="006E4DF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Полив тротуаров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 мере необходимости</w:t>
            </w:r>
          </w:p>
        </w:tc>
        <w:tc>
          <w:tcPr>
            <w:tcW w:w="2659" w:type="dxa"/>
          </w:tcPr>
          <w:p w:rsidR="00435643" w:rsidRDefault="006E4DF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  <w:p w:rsidR="00435643" w:rsidRDefault="00435643" w:rsidP="004F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Озеленение, высадка деревьев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по мере необходимости</w:t>
            </w:r>
          </w:p>
        </w:tc>
        <w:tc>
          <w:tcPr>
            <w:tcW w:w="2659" w:type="dxa"/>
          </w:tcPr>
          <w:p w:rsidR="00435643" w:rsidRDefault="006E4DF5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Установка ящиков для приема показаний приборов учета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1 раз</w:t>
            </w:r>
          </w:p>
        </w:tc>
        <w:tc>
          <w:tcPr>
            <w:tcW w:w="2659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435643" w:rsidTr="00435643">
        <w:tc>
          <w:tcPr>
            <w:tcW w:w="675" w:type="dxa"/>
          </w:tcPr>
          <w:p w:rsidR="00435643" w:rsidRDefault="00435643" w:rsidP="00AA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Установка датчиков включения освещения в местах общего пользования</w:t>
            </w:r>
          </w:p>
        </w:tc>
        <w:tc>
          <w:tcPr>
            <w:tcW w:w="3118" w:type="dxa"/>
          </w:tcPr>
          <w:p w:rsidR="00435643" w:rsidRPr="00435643" w:rsidRDefault="00435643" w:rsidP="002C381A">
            <w:pPr>
              <w:pStyle w:val="a4"/>
              <w:ind w:left="-27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435643">
              <w:rPr>
                <w:rFonts w:eastAsiaTheme="minorHAnsi"/>
                <w:sz w:val="28"/>
                <w:szCs w:val="28"/>
                <w:u w:val="none"/>
                <w:lang w:eastAsia="en-US"/>
              </w:rPr>
              <w:t>1 раз</w:t>
            </w:r>
          </w:p>
        </w:tc>
        <w:tc>
          <w:tcPr>
            <w:tcW w:w="2659" w:type="dxa"/>
          </w:tcPr>
          <w:p w:rsidR="00435643" w:rsidRDefault="003951D0" w:rsidP="006E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E4D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A5905" w:rsidRDefault="00AA5905" w:rsidP="00AA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512" w:rsidRPr="006E4DF5" w:rsidRDefault="006E4DF5" w:rsidP="006E4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Общая площадь жилых и нежилых помещений по лоту № 1 составляет </w:t>
      </w:r>
      <w:r w:rsidR="00075BAE">
        <w:rPr>
          <w:rFonts w:ascii="Times New Roman" w:hAnsi="Times New Roman" w:cs="Times New Roman"/>
          <w:i/>
          <w:sz w:val="28"/>
          <w:szCs w:val="28"/>
        </w:rPr>
        <w:t>3 437,50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BAE"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r w:rsidR="00075BAE" w:rsidRPr="00075BA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bookmarkEnd w:id="0"/>
      <w:proofErr w:type="spellEnd"/>
    </w:p>
    <w:sectPr w:rsidR="004F1512" w:rsidRPr="006E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5"/>
    <w:rsid w:val="00075BAE"/>
    <w:rsid w:val="00080D3C"/>
    <w:rsid w:val="00373726"/>
    <w:rsid w:val="003951D0"/>
    <w:rsid w:val="00435643"/>
    <w:rsid w:val="00484649"/>
    <w:rsid w:val="004F1512"/>
    <w:rsid w:val="005921B1"/>
    <w:rsid w:val="006A6BA0"/>
    <w:rsid w:val="006E4DF5"/>
    <w:rsid w:val="00AA5905"/>
    <w:rsid w:val="00C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F151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4F1512"/>
    <w:rPr>
      <w:rFonts w:ascii="Times New Roman" w:eastAsia="Times New Roman" w:hAnsi="Times New Roman" w:cs="Times New Roman"/>
      <w:sz w:val="4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F151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4F1512"/>
    <w:rPr>
      <w:rFonts w:ascii="Times New Roman" w:eastAsia="Times New Roman" w:hAnsi="Times New Roman" w:cs="Times New Roman"/>
      <w:sz w:val="4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Лимасова Ольга Александровна</dc:creator>
  <cp:lastModifiedBy>Лимасова Ольга Александровна</cp:lastModifiedBy>
  <cp:revision>4</cp:revision>
  <cp:lastPrinted>2016-04-19T13:48:00Z</cp:lastPrinted>
  <dcterms:created xsi:type="dcterms:W3CDTF">2018-03-02T05:32:00Z</dcterms:created>
  <dcterms:modified xsi:type="dcterms:W3CDTF">2018-09-19T14:27:00Z</dcterms:modified>
</cp:coreProperties>
</file>